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864B17">
        <w:rPr>
          <w:rFonts w:ascii="Arial" w:hAnsi="Arial" w:cs="Arial"/>
          <w:b/>
        </w:rPr>
        <w:t>Bezpečné branky</w:t>
      </w:r>
      <w:r w:rsidR="009018A1">
        <w:rPr>
          <w:rFonts w:ascii="Arial" w:hAnsi="Arial" w:cs="Arial"/>
          <w:b/>
        </w:rPr>
        <w:t xml:space="preserve"> 2017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D23BD8">
        <w:rPr>
          <w:rFonts w:ascii="Arial" w:hAnsi="Arial" w:cs="Arial"/>
        </w:rPr>
        <w:t>uladu s ustanovením § 27 odst. 7</w:t>
      </w:r>
      <w:bookmarkStart w:id="0" w:name="_GoBack"/>
      <w:bookmarkEnd w:id="0"/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1F1C28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64B17"/>
    <w:rsid w:val="008820C4"/>
    <w:rsid w:val="009018A1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D23BD8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928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3</cp:revision>
  <dcterms:created xsi:type="dcterms:W3CDTF">2017-01-25T11:56:00Z</dcterms:created>
  <dcterms:modified xsi:type="dcterms:W3CDTF">2017-02-27T09:21:00Z</dcterms:modified>
</cp:coreProperties>
</file>