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5" w:rsidRPr="00121244" w:rsidRDefault="004F6015" w:rsidP="004E21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Plzeňský kraj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Škroupova 18, 306 13  Plzeň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k podpisu smlouvy oprávněn: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6C7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70890366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CZ70890366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823B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Raiffeisenbank, a.s. pobočka Plzeň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                                 </w:t>
      </w:r>
      <w:r w:rsidR="00A823B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1063003350/5500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 jako poskytovatel finanční dotace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/dále jen „Poskytovatel“/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......................................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podpisu smlouvy: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                                   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</w:t>
      </w:r>
    </w:p>
    <w:p w:rsidR="004F6015" w:rsidRPr="00121244" w:rsidRDefault="004F6015" w:rsidP="004E2105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 v ........rejstříku....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druhé, jako příjemce finanční dotace</w:t>
      </w:r>
    </w:p>
    <w:p w:rsidR="004F6015" w:rsidRPr="00121244" w:rsidRDefault="004F6015" w:rsidP="004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/dále jen „Příjemce“/</w:t>
      </w:r>
    </w:p>
    <w:p w:rsidR="004F6015" w:rsidRPr="00121244" w:rsidRDefault="004F6015" w:rsidP="004E21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mezi sebou tuto</w:t>
      </w:r>
    </w:p>
    <w:p w:rsidR="004F6015" w:rsidRPr="00121244" w:rsidRDefault="004F6015" w:rsidP="004E21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6015" w:rsidRPr="00121244" w:rsidRDefault="004F6015" w:rsidP="004E210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S M L O U V U</w:t>
      </w:r>
    </w:p>
    <w:p w:rsidR="004F6015" w:rsidRPr="00121244" w:rsidRDefault="004F6015" w:rsidP="004E2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poskytnutí účelové dotace</w:t>
      </w:r>
    </w:p>
    <w:p w:rsidR="004F6015" w:rsidRPr="00121244" w:rsidRDefault="000902B8" w:rsidP="004E2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......./OKHE/2016</w:t>
      </w:r>
    </w:p>
    <w:p w:rsidR="004F6015" w:rsidRPr="00121244" w:rsidRDefault="004F6015" w:rsidP="004E2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F6015" w:rsidRPr="00121244" w:rsidRDefault="004F6015" w:rsidP="004E210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I.</w:t>
      </w:r>
    </w:p>
    <w:p w:rsidR="004F6015" w:rsidRPr="00121244" w:rsidRDefault="004F6015" w:rsidP="004E21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účelové finanční dotace (dále také „dotace“) určené na ............................. (dále též „Projekt“). Projekt bude realizován v souladu s podanou žádostí Příjemce</w:t>
      </w:r>
      <w:r w:rsidR="00EC26C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pravi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dly dotačního titulu </w:t>
      </w:r>
      <w:r w:rsidR="006D36A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„Materiální zajištění spolkové činnosti na venkově 2016“</w:t>
      </w:r>
      <w:r w:rsidR="00EC26C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 musí realizován a účelu dotace musí být dosaženo</w:t>
      </w:r>
      <w:r w:rsidR="002F278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31. 12</w:t>
      </w:r>
      <w:r w:rsidR="000902B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  <w:r w:rsidR="00EC26C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poskytnutí účelové finanční dotace je elektronická žádost Příjemce o poskytnutí 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80E7A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otace (č.</w:t>
      </w:r>
      <w:r w:rsidR="00BE16C7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..................)</w:t>
      </w:r>
      <w:r w:rsidR="00EC26C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podaná prostřednictvím systému </w:t>
      </w:r>
      <w:proofErr w:type="spellStart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eDotace</w:t>
      </w:r>
      <w:proofErr w:type="spellEnd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6015" w:rsidRPr="00121244" w:rsidRDefault="004F6015" w:rsidP="004E210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II.</w:t>
      </w:r>
    </w:p>
    <w:p w:rsidR="004F6015" w:rsidRPr="00121244" w:rsidRDefault="004F6015" w:rsidP="004E210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se zavazuje poskytnout finanční dotaci ve výši ................. Kč (slovy: ..............................) Příjemci jako účelovou dotaci pro účel uvedený v článku I. této smlouvy, a to za podmínek stanovených touto smlouvou a 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ravidly</w:t>
      </w:r>
      <w:r w:rsidR="00A6082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ho programu Dotační progr</w:t>
      </w:r>
      <w:r w:rsidR="000902B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am odboru kancelář hejtmana 2016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, dotační titul</w:t>
      </w:r>
      <w:r w:rsidR="002F278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36A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„Materiální zajištění spolkové činnosti na venkově 2016“</w:t>
      </w:r>
      <w:r w:rsidR="00A6082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se poskytuje jako </w:t>
      </w:r>
      <w:r w:rsidR="001E46A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</w:t>
      </w:r>
      <w:r w:rsidR="006D36A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investiční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0730A" w:rsidRPr="00121244" w:rsidRDefault="0040730A" w:rsidP="004E210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spolufinancovat Projekt nejméně ve výši 10 % z celkových uznatelných nákladů Projektu z vlastních zdrojů. Pokud dotace bude činit více než </w:t>
      </w:r>
      <w:r w:rsidR="004B181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90 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celkových uznatelných nákladů Projektu</w:t>
      </w:r>
      <w:r w:rsidR="004B181C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, pak se příjemce zavazuje vrátit část dotace, která přesahuje 90 % celkových uznatelných nákladů Projektu nejpozději do 5 dnů od podání vyúčtování dotace dle této smlouvy.</w:t>
      </w:r>
    </w:p>
    <w:p w:rsidR="00980E7A" w:rsidRPr="00121244" w:rsidRDefault="004F6015" w:rsidP="004E2105">
      <w:pPr>
        <w:numPr>
          <w:ilvl w:val="0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tuto finanční dotaci přijmout, v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yužít ji pouze k výše uvedenému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účelu a splnit podmí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nky stanovené touto smlouvou a p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ravidly dotačního programu.</w:t>
      </w:r>
      <w:r w:rsidRPr="00121244" w:rsidDel="008A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6015" w:rsidRPr="00121244" w:rsidRDefault="004F6015" w:rsidP="004E2105">
      <w:pPr>
        <w:numPr>
          <w:ilvl w:val="0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oprávněn a současně povinen čerpat poskytnutou finanční dotaci v období </w:t>
      </w:r>
      <w:r w:rsidR="006D36A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7</w:t>
      </w:r>
      <w:r w:rsidR="002F278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 do 31. 12</w:t>
      </w:r>
      <w:r w:rsidR="000902B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  <w:r w:rsidR="002C2E8E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jak je uvedeno v pravidlech dotačního titulu.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6015" w:rsidRPr="00121244" w:rsidRDefault="004F6015" w:rsidP="004E2105">
      <w:pPr>
        <w:numPr>
          <w:ilvl w:val="0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informovat Poskytovatele, že obdržel dotaci na shodný účel uvedený v čl. I. této smlouvy od jiného subjektu. Příjemce je povinen zajistit, aby celková částka dotací na projekt od Poskytovatele a jiných subjektů nepřekročila 100 % celkových nákladů na projekt. V případě porušení povinnosti dle věty prvé tohoto odstavce je Příjemce povinen vrátit dotaci v celé výši, v případě porušení povinnosti dle věty druhé  tohoto odstavce je povinen vrátit část dotace Poskytovateli, která přesahuje 100 % nákladů na projekt.</w:t>
      </w:r>
    </w:p>
    <w:p w:rsidR="004F6015" w:rsidRPr="00121244" w:rsidRDefault="004F6015" w:rsidP="004E2105">
      <w:pPr>
        <w:numPr>
          <w:ilvl w:val="0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Finanční prostředky budou jednorázově poukázány na účet Příjemce</w:t>
      </w:r>
      <w:r w:rsidR="00282238" w:rsidRPr="001212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lhůtě </w:t>
      </w:r>
      <w:r w:rsidR="00804432" w:rsidRPr="001212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 dní</w:t>
      </w:r>
      <w:r w:rsidR="00282238" w:rsidRPr="001212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účinnosti této smlouvy.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6015" w:rsidRPr="00121244" w:rsidRDefault="004F6015" w:rsidP="004E2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III.</w:t>
      </w:r>
    </w:p>
    <w:p w:rsidR="004F6015" w:rsidRPr="00121244" w:rsidRDefault="004F6015" w:rsidP="004E210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při jakékoli formě publicity projektu uvádět, že byl uskutečněn za finanční podpory Plzeňského kraje. </w:t>
      </w:r>
    </w:p>
    <w:p w:rsidR="004F6015" w:rsidRPr="00121244" w:rsidRDefault="004F6015" w:rsidP="004E210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zavazuje, s ohledem na charakter realizace dotovaného projektu: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viditelně umístit logo Plzeňského kraje na veškeré propagační materiály</w:t>
      </w:r>
      <w:r w:rsidR="004940F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s</w:t>
      </w:r>
      <w:r w:rsidR="004940F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projektem</w:t>
      </w:r>
      <w:r w:rsidR="004940F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zakoupené předměty hrazené z dotace,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kdy je účelem projektu vytvoření knižní publikace, umístit na samostatnou stránku v publikaci logo Plzeňského kraje společně s informací, že publikace byla vydána za finanční podpory Plzeňského kraje,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umožnit Poskytovateli při realizaci projektu účast na kontrolních dnech, informovat Poskytovatele o termínu slavnostního uvedení projektu do provozu (o termínu konání kontrolních dnů, popř. slavnostní uvedení projektu do provozu je Příjemce povinen informovat Poskytovatele, a to prostřednictvím Oddělení mediální komunikace, vnějších vztahů a marketingu, Odboru kancelář hejtmana Krajského úřadu Plzeňského kraje). </w:t>
      </w:r>
    </w:p>
    <w:p w:rsidR="004F6015" w:rsidRPr="00121244" w:rsidRDefault="004F6015" w:rsidP="004E2105">
      <w:pPr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zavazuje, že: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použije logo Plzeňského kraje výhradně k účelu, ke kterému mu bylo poskytnuto,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neposkytne oprávnění užívat logo Plzeňského kraje třetím osobám,</w:t>
      </w:r>
    </w:p>
    <w:p w:rsidR="004F6015" w:rsidRPr="00121244" w:rsidRDefault="004F6015" w:rsidP="004E2105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dodržovat Pravidla Rady Plzeňského kraje pro užívání loga Plzeňského kraje schválená Radou Plzeňského kraje usnesením č. 360/09 ze dne 6. 4. 2009, ve znění usnesení Rady Plzeňského kraje č. 3588/11 ze dne 21. 4. 2011, zveřejněná na portálu Plzeňského kraje. </w:t>
      </w:r>
    </w:p>
    <w:p w:rsidR="004F6015" w:rsidRPr="00121244" w:rsidRDefault="004F6015" w:rsidP="004E210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Dohled nad správným a důstojným užíváním loga v souladu s Pravidly Rady Plzeňského kraje pro užívání loga Plzeňského kraje a v souladu s veřejným pořádkem, vykonává Krajský úřad Plzeňského kraje (dále jen „KÚPK“). Příjemce je povinen umožnit kontrolu užívání loga. KÚPK sdělí své vyjádření k umístění loga a údajů o finanční podpoře Plzeňského kraje Příjemci písemně do 3 pracovních dnů od obdržení náhledu předtiskové úpravy, jinak platí, že bylo vydáno souhlasné stanovisko.</w:t>
      </w:r>
    </w:p>
    <w:p w:rsidR="004F6015" w:rsidRPr="00121244" w:rsidRDefault="004F6015" w:rsidP="004E210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IV.</w:t>
      </w:r>
    </w:p>
    <w:p w:rsidR="004F6015" w:rsidRPr="00121244" w:rsidRDefault="004F6015" w:rsidP="004E2105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účelové finanční dotace bylo schvále</w:t>
      </w:r>
      <w:r w:rsidR="00BE701F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no usnesením Rady</w:t>
      </w:r>
      <w:r w:rsidR="007D36CD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Plzeňského kraje č. 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</w:t>
      </w:r>
      <w:r w:rsidR="007D36CD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01F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6D36A1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26. 9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  <w:r w:rsidR="007D36CD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</w:t>
      </w:r>
      <w:proofErr w:type="spellStart"/>
      <w:r w:rsidR="007D36CD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7D36CD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§59 odst. 2 písm. a)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zák. č. 129/2000 Sb., o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krajích (krajské zřízení), ve znění pozdějších předpisů. </w:t>
      </w:r>
    </w:p>
    <w:p w:rsidR="004F6015" w:rsidRPr="00121244" w:rsidRDefault="004F6015" w:rsidP="00121244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V.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zavazuje, že prostředky dotace budou využity výhradně k financování účelu uvedeného v článku I. této smlouvy. V případě porušení účelovosti použití prostředků dotace je Příjemce povinen vrátit dotaci ve výši neoprávněně použité částky zpět Poskytovateli. Příjemce je povinen dotaci využít hospodárně, efektivně a účelně. V případě porušení povinnosti hospodárného, efektivního a účelného použití prostředků KÚPK ul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oží odvod Příjemci ve výši 30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dotace.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Příjemce povinen</w:t>
      </w:r>
      <w:r w:rsidRPr="0012124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účetnictví</w:t>
      </w:r>
      <w:r w:rsidRPr="00121244" w:rsidDel="008E2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 563/1991 Sb., o účetnictví, ve znění pozdějších předpisů, je povinen vést je řádně. Pokud je Příjemce povinen vést daňovou evidenci podle zákona č. 586/1992 Sb., o daních z příjmů, ve znění pozdějších předpisů, je povinen ji vést řádně. Příjemce se zavazuje vést evidenci čerpání poskytnuté dotace odděleně od ostatního účetnictví, popř. daňové evidence. Dotace budou v účetnictví, popř. daňové evidenci, analyticky odlišeny. Příjemce je vždy povinen doložit evidenci čerpání dotace doklady splňujícími charakter účetních dokladů podle zákona o účetnictví, i když účetnictví nevede. V případě porušení ustanovení tohoto odstavce KÚPK uloží Příjem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ci odvod ve výši 5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dotace.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předložit Poskytovateli závěrečnou zprávu a vyúčtování použití dotace </w:t>
      </w:r>
      <w:r w:rsidR="00542EA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 písemné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formě</w:t>
      </w:r>
      <w:r w:rsidR="00980E7A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předepsaném formuláři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</w:t>
      </w:r>
      <w:r w:rsidR="00542EA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podatelny Krajského úřadu Plzeňského kraje, Škroupova 18, Plzeň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včetně všech požadovaných příloh ve l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hů</w:t>
      </w:r>
      <w:r w:rsidR="002F278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tě do 31. 1. 2017</w:t>
      </w:r>
      <w:r w:rsidR="00542EA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vyúčtování dotace nebude ani v dodatečné lhůtě stanovené KÚPK poskytnuto Poskytovateli řádně, je Příjemce povinen dotaci v plné výši, popřípadě v části nedoložené vyúčtováním, vrátit ve lhůtě určené v písemné výzvě KÚPK. V případě pozdního vyúčtování KÚPK u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loží Příjemci odvod ve výši 5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dotace.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 dotace nebudou Příjemcem poskytnuty jiným fyzickým nebo právnickým osobám, pokud nepůjde o úhradu bezprostředně spojenou s realizací účelu dotace. Pokud by byly prostředky poskytnuty v rozporu s účelem dotace uvedeným v čl. I. této smlouvy, je Příjemce povinen dotaci vrátit ve výši neoprávněně použité částky.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pořízený, zhodnocený nebo opravený za použití dotace nesmí být bez písemného souhlasu Poskytovatele po dobu 3 let od poskytnutí dotace převeden na třetí osobu, pronajat, propachtován ani jinak dán k dispozici třetí osobě.  V případě porušení této povinnosti KÚPK ul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oží Příjemci odvod ve výši 30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dotace.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poskytnuté dotace nelze hradit pojistné, pokuty, penále, náhradu škody, soudní poplatky, smluvní pokuty, úroky z prodlení nebo poplatky z prodlení, správní poplatky, daně a odvody, splátky úvěrů a půjček, </w:t>
      </w:r>
      <w:r w:rsidR="00542EA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dary</w:t>
      </w:r>
      <w:r w:rsidR="00542EA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0728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mzdy, honoráře, odměny, cestovní náhrady, režijní náklady (elektřina, plyn aj.), nájemné (sídla organizace atp.) </w:t>
      </w:r>
      <w:r w:rsidR="00E0728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nebo náklady na telefonní hovory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; pokud je Příjemce ve smyslu zákona č.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235/2004</w:t>
      </w:r>
      <w:r w:rsidR="00FA1AB6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o dani z přidané hodnoty, ve znění pozdějších předpisů, plátcem a může uplatnit nárok na odpočet daně, nelze z dotace hradit část nákladů odpovídajících výši uplatněného nároku na odpočet daně. V případě pochybnosti, zda lze náklad z prostředků dotace hradit či nikoliv, rozhoduje o uznatelnosti nákladu výhradně KÚPK.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nedojde k uskutečnění projektu, na který byla poskytnuta finanční dotace, do data, do kterého je Příjemce oprávněn čerpat </w:t>
      </w:r>
      <w:r w:rsidR="00E0728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dle čl. II. odst. 3 této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smlouvy, je Příjemce povinen vrátit dotaci v plné výši Poskytovateli. V případě, že finanční prostředky nebudou do této doby vyčerpány v plné výši, je Příjemce povinen vrátit Poskytovateli nevyčerpaný zůstatek dotace ve lhůtě pro vyúčtování.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dále povinen dotaci vrátit, pokud bude zjištěno, že údaje, na jejichž základě byla dotace poskytnuta, byly neúplné nebo nepravdivé. Pokud by se jednalo o nedovolenou veřejnou podporu, je Příjemce povinen dotaci v plné výši vrátit včetně úroku podle pravidel o veřejné podpoře. Příjemce je povinen dotaci vrátit, pokud v souvislosti s projektem spáchá trestný čin, přestupek nebo správní delikt, nebo jeho jednání odporuje veřejnému pořádku.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vzniku důvodů pro vrácení finančních prostředků nebo zaplacení odvodu, poukáže je Příjemce bez výzvy neprodleně na účet Poskytovatele, popřípadě ve lhůtě určené ve výzvě KÚPK. V roce poskytnutí dotace na č. </w:t>
      </w:r>
      <w:proofErr w:type="spellStart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12124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1063003350/5500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peněžního ústavu Raiffeisenbank, a.s., pobočka Plzeň, jinak na </w:t>
      </w:r>
      <w:proofErr w:type="spellStart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.: 1063003377/5500 u peněžního ústavu Raiffeisenbank, a.s., pobočka Plzeň. Variabilním symbolem bude IČO Příjemce. Příjemce dotace je povinen současně s realizovanou platbou zaslat písemné avízo na Odbor ekonomický  KÚPK</w:t>
      </w:r>
      <w:r w:rsidR="00E07288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administrátorovi dotačního titulu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bez zbytečného odkladu, nejpozději do 10 dnů ode dne, kdy se dozví o změnách, písemně oznámit KÚPK veškeré změny nebo skutečnosti, které by měly vliv na realizaci účelu dotace, včetně změn údajů o Příjemci (změna IČO, bankovního čísla účtu, změna osoby oprávněné jednat jménem Příjemce atd.). Je-li Příjemcem dotace právnická osoba, je Příjemce povinen v případě přeměny nebo zrušení právnické osoby s likvidací oznámit tyto skutečnosti Poskytovateli, podat vyúčtování dotace k rozhodnému dni nebo dni vstupu do likvidace a vrátit část dotace, která nebyla vyčerpána před rozhodným dnem nebo dnem vstupu do likvidace. V případě pozdního oznámení změn nebo jejich neoznámení uloží 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KÚPK Příjemci odvod ve výši 5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dotace. </w:t>
      </w:r>
    </w:p>
    <w:p w:rsidR="004F6015" w:rsidRPr="00121244" w:rsidRDefault="004F6015" w:rsidP="00E64424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E64424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vzniku důvodů pro výzvu k provedení opatření k nápravě nebo výzvy k vrácení dotace nebo její části podle § 22 odst. 6 zák. č. 250/2000 Sb., o rozpočtových pravidlech územních rozpočtů, ve znění pozdějších předpisů, učiní tuto výzvu jménem Poskytovatele KÚPK. V případě porušení rozpočtové kázně a zároveň nevrácení poskytnuté dotace Příjemcem Poskytovateli, popř. nevyhovění výzvě k provedení opatření k nápravě, postupuje KÚPK způsobem uvedeným v § 22 zák. č. 250/2000 Sb., o rozpočtových pravidlech územních rozpočtů, ve znění pozdějších předpisů, ve spojení se zák. č. 280/2009 Sb., daňový řád, ve znění pozdějších předpisů, tedy vydáním platebního výměru za účelem uložení odvodu a penále do rozpočtu Poskytovatele.</w:t>
      </w:r>
    </w:p>
    <w:p w:rsidR="004E210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 se zveřejněním této smlouvy podle § 10d zákona č. 250/2000 Sb., o rozpočtových pravidlech územních rozpočtů, ve znění pozdějších předpisů, a podle zákona č. 340/2015 Sb., o zvláštních podmínkách účinnosti některých smluv, uveřejňování těchto smluv a o registru smluv (zákon o registru smluv), popřípadě 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obdobně podle příslušných ustanovení uvedených zákonů i tam, kde zákon povinnost zveřejnit smlouvu neukládá. Poskytovatel je oprávněn materiály získané v souvislosti s projektem (např. fotodokumentaci akce) včetně materiálů poskytnutých Příjemcem použít pro své potřeby (zejména k propagaci). </w:t>
      </w:r>
    </w:p>
    <w:p w:rsidR="004F6015" w:rsidRPr="00121244" w:rsidRDefault="004E2105" w:rsidP="004E210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zajistit, že při přípravě, realizaci a propagaci projektu specifikovaného v čl. I. této smlouvy nebudou užity protiprávní jednání spočívající v nerespektování autorských či jiných práv třetích osob či jiné nevhodné způsoby obtěžující fyzické a právnické osoby.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Poskytnutím dotace se nezakládá nárok na poskytnutí další dotace v případě, že dotovaná akce bude pokračovat v dalších letech. </w:t>
      </w:r>
    </w:p>
    <w:p w:rsidR="004F6015" w:rsidRPr="00121244" w:rsidRDefault="004F6015" w:rsidP="004E2105">
      <w:pPr>
        <w:numPr>
          <w:ilvl w:val="0"/>
          <w:numId w:val="2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oprávněn provádět prostřednictvím KÚPK kontrolu užití účelové dotace dle příslušných ustanovení zák. č. 320/2001 Sb., o finanční kontrole, ve znění pozdějších předpisů.</w:t>
      </w:r>
      <w:r w:rsidRPr="001212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F6015" w:rsidRPr="00121244" w:rsidRDefault="004F6015" w:rsidP="004E210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VI.</w:t>
      </w:r>
    </w:p>
    <w:p w:rsidR="004F6015" w:rsidRPr="00121244" w:rsidRDefault="004F6015" w:rsidP="004E2105">
      <w:pPr>
        <w:numPr>
          <w:ilvl w:val="0"/>
          <w:numId w:val="4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</w:t>
      </w:r>
      <w:r w:rsidR="004E2105"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 nabývá platnosti </w:t>
      </w: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podpisu obou smluvních stran. </w:t>
      </w:r>
    </w:p>
    <w:p w:rsidR="004F6015" w:rsidRPr="00121244" w:rsidRDefault="004F6015" w:rsidP="004E2105">
      <w:pPr>
        <w:numPr>
          <w:ilvl w:val="0"/>
          <w:numId w:val="4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se vyhotovuje ve třech stejnopisech, z nichž Příjemce dotace obdrží jedno a Poskytovatel dvě vyhotovení.</w:t>
      </w:r>
    </w:p>
    <w:p w:rsidR="004F6015" w:rsidRPr="00121244" w:rsidRDefault="004F6015" w:rsidP="004E2105">
      <w:pPr>
        <w:numPr>
          <w:ilvl w:val="0"/>
          <w:numId w:val="4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doplňky k této smlouvě lze provést pouze po vzájemném odsouhlasení smluvních stran, a to písemně, s číselně označenými dodatky, podepsanými oběma smluvními stranami.</w:t>
      </w:r>
    </w:p>
    <w:p w:rsidR="004F6015" w:rsidRPr="00121244" w:rsidRDefault="004F6015" w:rsidP="004E2105">
      <w:pPr>
        <w:numPr>
          <w:ilvl w:val="0"/>
          <w:numId w:val="4"/>
        </w:numPr>
        <w:tabs>
          <w:tab w:val="clear" w:pos="360"/>
          <w:tab w:val="num" w:pos="600"/>
        </w:tabs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tato smlouva byla sepsána podle jejich pravé a svobodné vůle prosté omylu a donucení, nikoli v tísni, že smlouva není zdánlivým právním jednáním, že obě smluvní strany souhlasí s celým jejím obsahem.</w:t>
      </w:r>
    </w:p>
    <w:p w:rsidR="004F6015" w:rsidRPr="00121244" w:rsidRDefault="004F6015" w:rsidP="004E2105">
      <w:pPr>
        <w:numPr>
          <w:ilvl w:val="0"/>
          <w:numId w:val="4"/>
        </w:numPr>
        <w:tabs>
          <w:tab w:val="clear" w:pos="360"/>
          <w:tab w:val="num" w:pos="567"/>
          <w:tab w:val="left" w:pos="3287"/>
        </w:tabs>
        <w:spacing w:before="120"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 smyslem nejlépe odpovídá obsahu a smyslu původního ustanovení.        </w:t>
      </w:r>
    </w:p>
    <w:p w:rsidR="004F6015" w:rsidRPr="00121244" w:rsidRDefault="004F6015" w:rsidP="004E21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1244" w:rsidRDefault="00121244" w:rsidP="004E2105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015" w:rsidRPr="00121244" w:rsidRDefault="004F6015" w:rsidP="004E2105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sz w:val="24"/>
          <w:szCs w:val="24"/>
        </w:rPr>
        <w:t>V ................ dne ................</w:t>
      </w:r>
      <w:r w:rsidRPr="00121244">
        <w:rPr>
          <w:rFonts w:ascii="Times New Roman" w:eastAsia="Times New Roman" w:hAnsi="Times New Roman" w:cs="Times New Roman"/>
          <w:sz w:val="24"/>
          <w:szCs w:val="24"/>
        </w:rPr>
        <w:tab/>
        <w:t>V ............... dne .................</w:t>
      </w:r>
    </w:p>
    <w:p w:rsidR="00121244" w:rsidRDefault="004E2105" w:rsidP="004E2105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015" w:rsidRPr="00121244" w:rsidRDefault="004F6015" w:rsidP="004E2105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1244">
        <w:rPr>
          <w:rFonts w:ascii="Times New Roman" w:eastAsia="Times New Roman" w:hAnsi="Times New Roman" w:cs="Times New Roman"/>
          <w:sz w:val="24"/>
          <w:szCs w:val="24"/>
        </w:rPr>
        <w:t>Příjemce:</w:t>
      </w:r>
      <w:r w:rsidRPr="00121244">
        <w:rPr>
          <w:rFonts w:ascii="Times New Roman" w:eastAsia="Times New Roman" w:hAnsi="Times New Roman" w:cs="Times New Roman"/>
          <w:sz w:val="24"/>
          <w:szCs w:val="24"/>
        </w:rPr>
        <w:tab/>
      </w:r>
      <w:r w:rsidRPr="00121244">
        <w:rPr>
          <w:rFonts w:ascii="Times New Roman" w:eastAsia="Times New Roman" w:hAnsi="Times New Roman" w:cs="Times New Roman"/>
          <w:sz w:val="24"/>
          <w:szCs w:val="24"/>
        </w:rPr>
        <w:tab/>
        <w:t>Poskytovatel:</w:t>
      </w:r>
    </w:p>
    <w:p w:rsidR="004F6015" w:rsidRPr="00121244" w:rsidRDefault="004F6015" w:rsidP="004E2105">
      <w:pPr>
        <w:tabs>
          <w:tab w:val="center" w:pos="1080"/>
          <w:tab w:val="left" w:pos="5160"/>
          <w:tab w:val="center" w:pos="59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25" w:rsidRPr="00121244" w:rsidRDefault="004F6015" w:rsidP="004E2105">
      <w:pPr>
        <w:tabs>
          <w:tab w:val="center" w:pos="1080"/>
          <w:tab w:val="left" w:pos="5160"/>
          <w:tab w:val="center" w:pos="59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44">
        <w:rPr>
          <w:rFonts w:ascii="Times New Roman" w:eastAsia="Times New Roman" w:hAnsi="Times New Roman" w:cs="Times New Roman"/>
          <w:sz w:val="24"/>
          <w:szCs w:val="24"/>
        </w:rPr>
        <w:t>………………………......</w:t>
      </w:r>
      <w:r w:rsidRPr="0012124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 </w:t>
      </w:r>
    </w:p>
    <w:sectPr w:rsidR="00C07625" w:rsidRPr="00121244" w:rsidSect="00294BBB">
      <w:footerReference w:type="even" r:id="rId9"/>
      <w:footerReference w:type="default" r:id="rId10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36" w:rsidRDefault="000E4836">
      <w:pPr>
        <w:spacing w:after="0" w:line="240" w:lineRule="auto"/>
      </w:pPr>
      <w:r>
        <w:separator/>
      </w:r>
    </w:p>
  </w:endnote>
  <w:endnote w:type="continuationSeparator" w:id="0">
    <w:p w:rsidR="000E4836" w:rsidRDefault="000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B3" w:rsidRDefault="00807885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31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9B3" w:rsidRDefault="000E4836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B3" w:rsidRDefault="00807885">
    <w:pPr>
      <w:pStyle w:val="Zpat"/>
      <w:jc w:val="center"/>
    </w:pPr>
    <w:r>
      <w:fldChar w:fldCharType="begin"/>
    </w:r>
    <w:r w:rsidR="00AD3106">
      <w:instrText xml:space="preserve"> PAGE   \* MERGEFORMAT </w:instrText>
    </w:r>
    <w:r>
      <w:fldChar w:fldCharType="separate"/>
    </w:r>
    <w:r w:rsidR="00121244">
      <w:rPr>
        <w:noProof/>
      </w:rPr>
      <w:t>1</w:t>
    </w:r>
    <w:r>
      <w:fldChar w:fldCharType="end"/>
    </w:r>
  </w:p>
  <w:p w:rsidR="009009B3" w:rsidRDefault="000E4836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36" w:rsidRDefault="000E4836">
      <w:pPr>
        <w:spacing w:after="0" w:line="240" w:lineRule="auto"/>
      </w:pPr>
      <w:r>
        <w:separator/>
      </w:r>
    </w:p>
  </w:footnote>
  <w:footnote w:type="continuationSeparator" w:id="0">
    <w:p w:rsidR="000E4836" w:rsidRDefault="000E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D4E"/>
    <w:multiLevelType w:val="hybridMultilevel"/>
    <w:tmpl w:val="3F3EBA8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15"/>
    <w:rsid w:val="00015227"/>
    <w:rsid w:val="000902B8"/>
    <w:rsid w:val="000E4836"/>
    <w:rsid w:val="00121244"/>
    <w:rsid w:val="00197A17"/>
    <w:rsid w:val="001E46A8"/>
    <w:rsid w:val="00252FEF"/>
    <w:rsid w:val="00282238"/>
    <w:rsid w:val="002C2E8E"/>
    <w:rsid w:val="002F2786"/>
    <w:rsid w:val="003D428E"/>
    <w:rsid w:val="0040730A"/>
    <w:rsid w:val="004872EC"/>
    <w:rsid w:val="004940F6"/>
    <w:rsid w:val="004B181C"/>
    <w:rsid w:val="004C78FD"/>
    <w:rsid w:val="004E2105"/>
    <w:rsid w:val="004F6015"/>
    <w:rsid w:val="00522C99"/>
    <w:rsid w:val="00542EA6"/>
    <w:rsid w:val="005F38C0"/>
    <w:rsid w:val="005F4FDA"/>
    <w:rsid w:val="006D36A1"/>
    <w:rsid w:val="007D36CD"/>
    <w:rsid w:val="007F63C0"/>
    <w:rsid w:val="00804432"/>
    <w:rsid w:val="00807885"/>
    <w:rsid w:val="00880DC0"/>
    <w:rsid w:val="008F69C3"/>
    <w:rsid w:val="00980E7A"/>
    <w:rsid w:val="00A36759"/>
    <w:rsid w:val="00A60821"/>
    <w:rsid w:val="00A651DD"/>
    <w:rsid w:val="00A823B5"/>
    <w:rsid w:val="00AD3106"/>
    <w:rsid w:val="00BE16C7"/>
    <w:rsid w:val="00BE701F"/>
    <w:rsid w:val="00C07625"/>
    <w:rsid w:val="00CA140E"/>
    <w:rsid w:val="00E07288"/>
    <w:rsid w:val="00E64424"/>
    <w:rsid w:val="00EC26CC"/>
    <w:rsid w:val="00FA1AB6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6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F601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4F60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015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4F601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6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F6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uiPriority w:val="99"/>
    <w:semiHidden/>
    <w:rsid w:val="004F60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0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uiPriority w:val="99"/>
    <w:rsid w:val="004F601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156E-D873-41C6-BCA5-0D92AAC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CED5F774.dotm</Template>
  <TotalTime>0</TotalTime>
  <Pages>5</Pages>
  <Words>2052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Jindra</dc:creator>
  <cp:lastModifiedBy>Radová Jindra</cp:lastModifiedBy>
  <cp:revision>2</cp:revision>
  <dcterms:created xsi:type="dcterms:W3CDTF">2016-07-01T07:25:00Z</dcterms:created>
  <dcterms:modified xsi:type="dcterms:W3CDTF">2016-07-01T07:25:00Z</dcterms:modified>
</cp:coreProperties>
</file>